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8E96" w14:textId="11F5ABD1" w:rsidR="00B829D5" w:rsidRDefault="0049612B" w:rsidP="00B829D5">
      <w:pPr>
        <w:pStyle w:val="Title"/>
        <w:jc w:val="right"/>
      </w:pPr>
      <w:r>
        <w:rPr>
          <w:noProof/>
        </w:rPr>
        <w:drawing>
          <wp:anchor distT="0" distB="0" distL="114300" distR="114300" simplePos="0" relativeHeight="251659264" behindDoc="1" locked="0" layoutInCell="1" allowOverlap="1" wp14:anchorId="18CD2BF9" wp14:editId="68EDCFE6">
            <wp:simplePos x="0" y="0"/>
            <wp:positionH relativeFrom="page">
              <wp:posOffset>430725</wp:posOffset>
            </wp:positionH>
            <wp:positionV relativeFrom="paragraph">
              <wp:posOffset>76835</wp:posOffset>
            </wp:positionV>
            <wp:extent cx="3162300" cy="1066165"/>
            <wp:effectExtent l="0" t="0" r="0" b="635"/>
            <wp:wrapTight wrapText="bothSides">
              <wp:wrapPolygon edited="0">
                <wp:start x="0" y="0"/>
                <wp:lineTo x="0" y="21227"/>
                <wp:lineTo x="21470" y="21227"/>
                <wp:lineTo x="2147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r="58162"/>
                    <a:stretch/>
                  </pic:blipFill>
                  <pic:spPr bwMode="auto">
                    <a:xfrm>
                      <a:off x="0" y="0"/>
                      <a:ext cx="3162300" cy="1066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29D5">
        <w:rPr>
          <w:noProof/>
          <w:lang w:eastAsia="en-GB"/>
        </w:rPr>
        <w:drawing>
          <wp:inline distT="0" distB="0" distL="0" distR="0" wp14:anchorId="33F65AA4" wp14:editId="296BFE04">
            <wp:extent cx="2653200" cy="712800"/>
            <wp:effectExtent l="0" t="0" r="0" b="0"/>
            <wp:docPr id="2" name="Picture 2" descr="Oxford University Hospitals NHS Foundation Trust" title="OU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h-logo-colour.jpg"/>
                    <pic:cNvPicPr/>
                  </pic:nvPicPr>
                  <pic:blipFill>
                    <a:blip r:embed="rId9">
                      <a:extLst>
                        <a:ext uri="{28A0092B-C50C-407E-A947-70E740481C1C}">
                          <a14:useLocalDpi xmlns:a14="http://schemas.microsoft.com/office/drawing/2010/main" val="0"/>
                        </a:ext>
                      </a:extLst>
                    </a:blip>
                    <a:stretch>
                      <a:fillRect/>
                    </a:stretch>
                  </pic:blipFill>
                  <pic:spPr>
                    <a:xfrm>
                      <a:off x="0" y="0"/>
                      <a:ext cx="2653200" cy="712800"/>
                    </a:xfrm>
                    <a:prstGeom prst="rect">
                      <a:avLst/>
                    </a:prstGeom>
                  </pic:spPr>
                </pic:pic>
              </a:graphicData>
            </a:graphic>
          </wp:inline>
        </w:drawing>
      </w:r>
    </w:p>
    <w:p w14:paraId="3A287BC0" w14:textId="04CA7DC2" w:rsidR="00B0462D" w:rsidRPr="00B0462D" w:rsidRDefault="0049612B" w:rsidP="00B0462D">
      <w:pPr>
        <w:pStyle w:val="Heading1"/>
      </w:pPr>
      <w:r w:rsidRPr="0012057C">
        <w:rPr>
          <w:rFonts w:eastAsiaTheme="minorHAnsi" w:cstheme="minorBidi"/>
        </w:rPr>
        <w:t>Faecal Immunochemical Test (FIT)</w:t>
      </w:r>
      <w:r>
        <w:rPr>
          <w:rFonts w:eastAsiaTheme="minorHAnsi" w:cstheme="minorBidi"/>
        </w:rPr>
        <w:t xml:space="preserve"> for colorectal </w:t>
      </w:r>
      <w:r w:rsidR="00F4764F">
        <w:rPr>
          <w:rFonts w:eastAsiaTheme="minorHAnsi" w:cstheme="minorBidi"/>
        </w:rPr>
        <w:t>Urgent Suspected Cancer Referrals</w:t>
      </w:r>
      <w:r>
        <w:rPr>
          <w:rFonts w:eastAsiaTheme="minorHAnsi" w:cstheme="minorBidi"/>
        </w:rPr>
        <w:t xml:space="preserve"> - information and future action for GPs</w:t>
      </w:r>
    </w:p>
    <w:p w14:paraId="3A235398" w14:textId="77777777" w:rsidR="0049612B" w:rsidRDefault="0049612B" w:rsidP="0049612B">
      <w:pPr>
        <w:pStyle w:val="Heading3"/>
        <w:rPr>
          <w:rFonts w:eastAsiaTheme="minorHAnsi" w:cstheme="minorBidi"/>
          <w:b w:val="0"/>
          <w:bCs w:val="0"/>
        </w:rPr>
      </w:pPr>
      <w:r w:rsidRPr="0012057C">
        <w:rPr>
          <w:rFonts w:eastAsiaTheme="minorHAnsi" w:cstheme="minorBidi"/>
          <w:b w:val="0"/>
          <w:bCs w:val="0"/>
        </w:rPr>
        <w:t xml:space="preserve">Dear </w:t>
      </w:r>
      <w:r>
        <w:rPr>
          <w:rFonts w:eastAsiaTheme="minorHAnsi" w:cstheme="minorBidi"/>
          <w:b w:val="0"/>
          <w:bCs w:val="0"/>
        </w:rPr>
        <w:t>colleague,</w:t>
      </w:r>
    </w:p>
    <w:p w14:paraId="784ACEF3" w14:textId="34BB235C" w:rsidR="0049612B" w:rsidRPr="0012057C" w:rsidRDefault="0049612B" w:rsidP="0049612B">
      <w:pPr>
        <w:pStyle w:val="Heading3"/>
        <w:rPr>
          <w:rFonts w:eastAsiaTheme="minorHAnsi" w:cstheme="minorBidi"/>
        </w:rPr>
      </w:pPr>
      <w:r w:rsidRPr="0012057C">
        <w:rPr>
          <w:rFonts w:eastAsiaTheme="minorHAnsi" w:cstheme="minorBidi"/>
        </w:rPr>
        <w:t xml:space="preserve">You have sent in a colorectal </w:t>
      </w:r>
      <w:r w:rsidR="00F4764F">
        <w:rPr>
          <w:rFonts w:eastAsiaTheme="minorHAnsi" w:cstheme="minorBidi"/>
        </w:rPr>
        <w:t>Urgent Suspected Cancer R</w:t>
      </w:r>
      <w:r w:rsidRPr="0012057C">
        <w:rPr>
          <w:rFonts w:eastAsiaTheme="minorHAnsi" w:cstheme="minorBidi"/>
        </w:rPr>
        <w:t>eferral without including a Faecal Immunochemical Test (FIT) result</w:t>
      </w:r>
      <w:r>
        <w:rPr>
          <w:rFonts w:eastAsiaTheme="minorHAnsi" w:cstheme="minorBidi"/>
        </w:rPr>
        <w:t>.</w:t>
      </w:r>
      <w:r w:rsidRPr="0012057C">
        <w:rPr>
          <w:rFonts w:eastAsiaTheme="minorHAnsi" w:cstheme="minorBidi"/>
        </w:rPr>
        <w:t xml:space="preserve">      </w:t>
      </w:r>
    </w:p>
    <w:p w14:paraId="68F22D39" w14:textId="19D9BF27" w:rsidR="0049612B" w:rsidRDefault="0049612B" w:rsidP="0049612B">
      <w:pPr>
        <w:pStyle w:val="Heading3"/>
        <w:rPr>
          <w:rFonts w:eastAsiaTheme="minorHAnsi" w:cstheme="minorBidi"/>
          <w:b w:val="0"/>
          <w:bCs w:val="0"/>
        </w:rPr>
      </w:pPr>
      <w:r w:rsidRPr="0012057C">
        <w:rPr>
          <w:rFonts w:eastAsiaTheme="minorHAnsi" w:cstheme="minorBidi"/>
          <w:b w:val="0"/>
          <w:bCs w:val="0"/>
        </w:rPr>
        <w:t xml:space="preserve">We have received a referral for </w:t>
      </w:r>
      <w:r>
        <w:rPr>
          <w:rFonts w:eastAsiaTheme="minorHAnsi" w:cstheme="minorBidi"/>
          <w:b w:val="0"/>
          <w:bCs w:val="0"/>
        </w:rPr>
        <w:t>your</w:t>
      </w:r>
      <w:r w:rsidRPr="0012057C">
        <w:rPr>
          <w:rFonts w:eastAsiaTheme="minorHAnsi" w:cstheme="minorBidi"/>
          <w:b w:val="0"/>
          <w:bCs w:val="0"/>
        </w:rPr>
        <w:t xml:space="preserve"> patient, without an appended FIT result where it would have been useful to assist with referral triage.  In line with guidance, we kindly ask that all future colorectal </w:t>
      </w:r>
      <w:r w:rsidR="00F4764F">
        <w:rPr>
          <w:rFonts w:eastAsiaTheme="minorHAnsi" w:cstheme="minorBidi"/>
          <w:b w:val="0"/>
          <w:bCs w:val="0"/>
        </w:rPr>
        <w:t xml:space="preserve">Urgent Suspected Cancer </w:t>
      </w:r>
      <w:r w:rsidRPr="0012057C">
        <w:rPr>
          <w:rFonts w:eastAsiaTheme="minorHAnsi" w:cstheme="minorBidi"/>
          <w:b w:val="0"/>
          <w:bCs w:val="0"/>
        </w:rPr>
        <w:t xml:space="preserve">referrals, where required, are accompanied with a FIT result, to avoid potential delays in the patient’s diagnostic pathway.      </w:t>
      </w:r>
    </w:p>
    <w:p w14:paraId="2DBDC1BE" w14:textId="77777777" w:rsidR="0049612B" w:rsidRDefault="0049612B" w:rsidP="0049612B">
      <w:pPr>
        <w:pStyle w:val="Heading3"/>
        <w:rPr>
          <w:rFonts w:eastAsiaTheme="minorHAnsi" w:cstheme="minorBidi"/>
          <w:b w:val="0"/>
          <w:bCs w:val="0"/>
        </w:rPr>
      </w:pPr>
      <w:r w:rsidRPr="0012057C">
        <w:rPr>
          <w:rFonts w:eastAsiaTheme="minorHAnsi" w:cstheme="minorBidi"/>
          <w:b w:val="0"/>
          <w:bCs w:val="0"/>
        </w:rPr>
        <w:t xml:space="preserve">The FIT result will be used by the secondary care team to select the most appropriate colorectal investigations (see attached pathway for reference). This has been useful to help with the backlog of referrals and this approach is recommended by the National Cancer Team, the British Society of Gastroenterology, Thames Valley Cancer Alliance, and Surrey and Sussex Cancer Alliance.     </w:t>
      </w:r>
    </w:p>
    <w:p w14:paraId="63BE6E4A" w14:textId="25125EED" w:rsidR="0049612B" w:rsidRDefault="0049612B" w:rsidP="0049612B">
      <w:pPr>
        <w:pStyle w:val="Heading3"/>
        <w:rPr>
          <w:rFonts w:eastAsiaTheme="minorHAnsi" w:cstheme="minorBidi"/>
          <w:b w:val="0"/>
          <w:bCs w:val="0"/>
        </w:rPr>
      </w:pPr>
      <w:r w:rsidRPr="0012057C">
        <w:rPr>
          <w:rFonts w:eastAsiaTheme="minorHAnsi" w:cstheme="minorBidi"/>
          <w:b w:val="0"/>
          <w:bCs w:val="0"/>
        </w:rPr>
        <w:t>The use of FIT to guide referral and investigation is supported by multiple research studies showing that the sensitivity and specificity of FIT in symptomatic patients is far greater than symptoms alone. (1)</w:t>
      </w:r>
    </w:p>
    <w:p w14:paraId="712C9BDD" w14:textId="214D2416" w:rsidR="0049612B" w:rsidRPr="00B0462D" w:rsidRDefault="0049612B" w:rsidP="0049612B">
      <w:pPr>
        <w:pStyle w:val="Heading1"/>
      </w:pPr>
      <w:r>
        <w:t xml:space="preserve">Use of FIT as predictive tool on </w:t>
      </w:r>
      <w:r w:rsidR="00F4764F">
        <w:t>Urgent Suspected Cancer Referral</w:t>
      </w:r>
      <w:r>
        <w:t xml:space="preserve"> pathway (2)</w:t>
      </w:r>
    </w:p>
    <w:tbl>
      <w:tblPr>
        <w:tblStyle w:val="TableGrid"/>
        <w:tblW w:w="0" w:type="auto"/>
        <w:tblLook w:val="0620" w:firstRow="1" w:lastRow="0" w:firstColumn="0" w:lastColumn="0" w:noHBand="1" w:noVBand="1"/>
        <w:tblCaption w:val="Use of FIT as predictive tool on 2WW pathway"/>
        <w:tblDescription w:val="This study data shows that at a 10 μg/g cut off, a negative FIT provides a 99.6% negative predictive value for colorectal cancer. "/>
      </w:tblPr>
      <w:tblGrid>
        <w:gridCol w:w="1609"/>
        <w:gridCol w:w="1822"/>
        <w:gridCol w:w="2082"/>
        <w:gridCol w:w="2287"/>
        <w:gridCol w:w="1328"/>
        <w:gridCol w:w="1328"/>
      </w:tblGrid>
      <w:tr w:rsidR="0049612B" w14:paraId="3AFBBED1" w14:textId="77777777" w:rsidTr="00592289">
        <w:trPr>
          <w:cantSplit/>
          <w:tblHeader/>
        </w:trPr>
        <w:tc>
          <w:tcPr>
            <w:tcW w:w="1609" w:type="dxa"/>
          </w:tcPr>
          <w:p w14:paraId="5764670B" w14:textId="77777777" w:rsidR="0049612B" w:rsidRDefault="0049612B" w:rsidP="00085209">
            <w:pPr>
              <w:pStyle w:val="NoSpacing"/>
              <w:rPr>
                <w:rFonts w:cstheme="minorHAnsi"/>
                <w:b/>
                <w:szCs w:val="24"/>
              </w:rPr>
            </w:pPr>
            <w:proofErr w:type="spellStart"/>
            <w:r>
              <w:rPr>
                <w:rFonts w:cstheme="minorHAnsi"/>
                <w:b/>
                <w:szCs w:val="24"/>
              </w:rPr>
              <w:t>qFIT</w:t>
            </w:r>
            <w:proofErr w:type="spellEnd"/>
            <w:r>
              <w:rPr>
                <w:rFonts w:cstheme="minorHAnsi"/>
                <w:b/>
                <w:szCs w:val="24"/>
              </w:rPr>
              <w:t xml:space="preserve"> cut-off</w:t>
            </w:r>
          </w:p>
        </w:tc>
        <w:tc>
          <w:tcPr>
            <w:tcW w:w="1822" w:type="dxa"/>
          </w:tcPr>
          <w:p w14:paraId="41D1F147" w14:textId="77777777" w:rsidR="0049612B" w:rsidRDefault="0049612B" w:rsidP="00085209">
            <w:pPr>
              <w:pStyle w:val="NoSpacing"/>
              <w:rPr>
                <w:rFonts w:cstheme="minorHAnsi"/>
                <w:b/>
                <w:szCs w:val="24"/>
              </w:rPr>
            </w:pPr>
            <w:r>
              <w:rPr>
                <w:rFonts w:cstheme="minorHAnsi"/>
                <w:b/>
                <w:szCs w:val="24"/>
              </w:rPr>
              <w:t>+</w:t>
            </w:r>
            <w:proofErr w:type="spellStart"/>
            <w:r>
              <w:rPr>
                <w:rFonts w:cstheme="minorHAnsi"/>
                <w:b/>
                <w:szCs w:val="24"/>
              </w:rPr>
              <w:t>ve</w:t>
            </w:r>
            <w:proofErr w:type="spellEnd"/>
            <w:r>
              <w:rPr>
                <w:rFonts w:cstheme="minorHAnsi"/>
                <w:b/>
                <w:szCs w:val="24"/>
              </w:rPr>
              <w:t xml:space="preserve"> result</w:t>
            </w:r>
          </w:p>
        </w:tc>
        <w:tc>
          <w:tcPr>
            <w:tcW w:w="2082" w:type="dxa"/>
          </w:tcPr>
          <w:p w14:paraId="2E221A4B" w14:textId="77777777" w:rsidR="0049612B" w:rsidRDefault="0049612B" w:rsidP="00085209">
            <w:pPr>
              <w:pStyle w:val="NoSpacing"/>
              <w:rPr>
                <w:rFonts w:cstheme="minorHAnsi"/>
                <w:b/>
                <w:sz w:val="28"/>
                <w:szCs w:val="28"/>
                <w:u w:val="single"/>
              </w:rPr>
            </w:pPr>
            <w:r>
              <w:rPr>
                <w:rFonts w:cstheme="minorHAnsi"/>
                <w:b/>
                <w:szCs w:val="24"/>
              </w:rPr>
              <w:t>NSS</w:t>
            </w:r>
          </w:p>
        </w:tc>
        <w:tc>
          <w:tcPr>
            <w:tcW w:w="2287" w:type="dxa"/>
          </w:tcPr>
          <w:p w14:paraId="6D577F7E" w14:textId="77777777" w:rsidR="0049612B" w:rsidRPr="00B0462D" w:rsidRDefault="0049612B" w:rsidP="00085209">
            <w:pPr>
              <w:pStyle w:val="NoSpacing"/>
              <w:rPr>
                <w:rFonts w:cstheme="minorHAnsi"/>
                <w:b/>
                <w:bCs/>
                <w:sz w:val="28"/>
                <w:szCs w:val="28"/>
                <w:u w:val="single"/>
              </w:rPr>
            </w:pPr>
            <w:r>
              <w:rPr>
                <w:b/>
                <w:bCs/>
              </w:rPr>
              <w:t>Sensitivity for CRC</w:t>
            </w:r>
          </w:p>
        </w:tc>
        <w:tc>
          <w:tcPr>
            <w:tcW w:w="1328" w:type="dxa"/>
          </w:tcPr>
          <w:p w14:paraId="50C2F338" w14:textId="77777777" w:rsidR="0049612B" w:rsidRPr="00B0462D" w:rsidRDefault="0049612B" w:rsidP="00085209">
            <w:pPr>
              <w:pStyle w:val="NoSpacing"/>
              <w:rPr>
                <w:b/>
                <w:bCs/>
              </w:rPr>
            </w:pPr>
            <w:r>
              <w:rPr>
                <w:b/>
                <w:bCs/>
              </w:rPr>
              <w:t>PPV for CRC</w:t>
            </w:r>
          </w:p>
        </w:tc>
        <w:tc>
          <w:tcPr>
            <w:tcW w:w="1328" w:type="dxa"/>
          </w:tcPr>
          <w:p w14:paraId="61F97B4A" w14:textId="77777777" w:rsidR="0049612B" w:rsidRPr="00B0462D" w:rsidRDefault="0049612B" w:rsidP="00085209">
            <w:pPr>
              <w:pStyle w:val="NoSpacing"/>
              <w:rPr>
                <w:b/>
                <w:bCs/>
              </w:rPr>
            </w:pPr>
            <w:r>
              <w:rPr>
                <w:b/>
                <w:bCs/>
              </w:rPr>
              <w:t>NPV for CRC</w:t>
            </w:r>
          </w:p>
        </w:tc>
      </w:tr>
      <w:tr w:rsidR="0049612B" w14:paraId="0619C19E" w14:textId="77777777" w:rsidTr="00592289">
        <w:trPr>
          <w:cantSplit/>
          <w:tblHeader/>
        </w:trPr>
        <w:tc>
          <w:tcPr>
            <w:tcW w:w="1609" w:type="dxa"/>
          </w:tcPr>
          <w:p w14:paraId="66D43835" w14:textId="77777777" w:rsidR="0049612B" w:rsidRPr="0049612B" w:rsidRDefault="0049612B" w:rsidP="00085209">
            <w:pPr>
              <w:rPr>
                <w:color w:val="000000" w:themeColor="text1"/>
                <w:szCs w:val="24"/>
              </w:rPr>
            </w:pPr>
            <w:r w:rsidRPr="0049612B">
              <w:rPr>
                <w:rFonts w:ascii="Calibri" w:eastAsia="Times New Roman" w:hAnsi="Calibri" w:cs="Calibri"/>
                <w:b/>
                <w:bCs/>
                <w:color w:val="000000" w:themeColor="text1"/>
                <w:kern w:val="24"/>
                <w:szCs w:val="24"/>
                <w:lang w:eastAsia="en-GB"/>
              </w:rPr>
              <w:t xml:space="preserve">2 </w:t>
            </w:r>
            <w:r w:rsidRPr="0049612B">
              <w:rPr>
                <w:rFonts w:ascii="Calibri" w:eastAsia="Times New Roman" w:hAnsi="Calibri" w:cs="Calibri"/>
                <w:b/>
                <w:bCs/>
                <w:color w:val="000000" w:themeColor="text1"/>
                <w:kern w:val="24"/>
                <w:szCs w:val="24"/>
                <w:lang w:val="el-GR" w:eastAsia="en-GB"/>
              </w:rPr>
              <w:t>μ</w:t>
            </w:r>
            <w:r w:rsidRPr="0049612B">
              <w:rPr>
                <w:rFonts w:ascii="Calibri" w:eastAsia="Times New Roman" w:hAnsi="Calibri" w:cs="Calibri"/>
                <w:b/>
                <w:bCs/>
                <w:color w:val="000000" w:themeColor="text1"/>
                <w:kern w:val="24"/>
                <w:szCs w:val="24"/>
                <w:lang w:eastAsia="en-GB"/>
              </w:rPr>
              <w:t>g/g</w:t>
            </w:r>
          </w:p>
        </w:tc>
        <w:tc>
          <w:tcPr>
            <w:tcW w:w="1822" w:type="dxa"/>
          </w:tcPr>
          <w:p w14:paraId="767D32C0"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37%</w:t>
            </w:r>
          </w:p>
        </w:tc>
        <w:tc>
          <w:tcPr>
            <w:tcW w:w="2082" w:type="dxa"/>
          </w:tcPr>
          <w:p w14:paraId="3C10E65D"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11</w:t>
            </w:r>
          </w:p>
        </w:tc>
        <w:tc>
          <w:tcPr>
            <w:tcW w:w="2287" w:type="dxa"/>
          </w:tcPr>
          <w:p w14:paraId="6F6245F0"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97%</w:t>
            </w:r>
          </w:p>
        </w:tc>
        <w:tc>
          <w:tcPr>
            <w:tcW w:w="1328" w:type="dxa"/>
          </w:tcPr>
          <w:p w14:paraId="28220552"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w:t>
            </w:r>
          </w:p>
        </w:tc>
        <w:tc>
          <w:tcPr>
            <w:tcW w:w="1328" w:type="dxa"/>
          </w:tcPr>
          <w:p w14:paraId="3C32DB74"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99.8%</w:t>
            </w:r>
          </w:p>
        </w:tc>
      </w:tr>
      <w:tr w:rsidR="0049612B" w14:paraId="5989D99B" w14:textId="77777777" w:rsidTr="00592289">
        <w:trPr>
          <w:cantSplit/>
          <w:tblHeader/>
        </w:trPr>
        <w:tc>
          <w:tcPr>
            <w:tcW w:w="1609" w:type="dxa"/>
          </w:tcPr>
          <w:p w14:paraId="25258106" w14:textId="77777777" w:rsidR="0049612B" w:rsidRPr="0049612B" w:rsidRDefault="0049612B" w:rsidP="00085209">
            <w:pPr>
              <w:rPr>
                <w:color w:val="000000" w:themeColor="text1"/>
                <w:szCs w:val="24"/>
              </w:rPr>
            </w:pPr>
            <w:r w:rsidRPr="0049612B">
              <w:rPr>
                <w:rFonts w:ascii="Calibri" w:eastAsia="Times New Roman" w:hAnsi="Calibri" w:cs="Calibri"/>
                <w:b/>
                <w:bCs/>
                <w:color w:val="000000" w:themeColor="text1"/>
                <w:kern w:val="24"/>
                <w:szCs w:val="24"/>
                <w:lang w:eastAsia="en-GB"/>
              </w:rPr>
              <w:t xml:space="preserve">7 </w:t>
            </w:r>
            <w:r w:rsidRPr="0049612B">
              <w:rPr>
                <w:rFonts w:ascii="Calibri" w:eastAsia="Times New Roman" w:hAnsi="Calibri" w:cs="Calibri"/>
                <w:b/>
                <w:bCs/>
                <w:color w:val="000000" w:themeColor="text1"/>
                <w:kern w:val="24"/>
                <w:szCs w:val="24"/>
                <w:lang w:val="el-GR" w:eastAsia="en-GB"/>
              </w:rPr>
              <w:t>μ</w:t>
            </w:r>
            <w:r w:rsidRPr="0049612B">
              <w:rPr>
                <w:rFonts w:ascii="Calibri" w:eastAsia="Times New Roman" w:hAnsi="Calibri" w:cs="Calibri"/>
                <w:b/>
                <w:bCs/>
                <w:color w:val="000000" w:themeColor="text1"/>
                <w:kern w:val="24"/>
                <w:szCs w:val="24"/>
                <w:lang w:eastAsia="en-GB"/>
              </w:rPr>
              <w:t>g/g</w:t>
            </w:r>
          </w:p>
        </w:tc>
        <w:tc>
          <w:tcPr>
            <w:tcW w:w="1822" w:type="dxa"/>
          </w:tcPr>
          <w:p w14:paraId="2AD3869E"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11%</w:t>
            </w:r>
          </w:p>
        </w:tc>
        <w:tc>
          <w:tcPr>
            <w:tcW w:w="2082" w:type="dxa"/>
          </w:tcPr>
          <w:p w14:paraId="0FE02129"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11</w:t>
            </w:r>
          </w:p>
        </w:tc>
        <w:tc>
          <w:tcPr>
            <w:tcW w:w="2287" w:type="dxa"/>
          </w:tcPr>
          <w:p w14:paraId="2464D97E"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91.4%</w:t>
            </w:r>
          </w:p>
        </w:tc>
        <w:tc>
          <w:tcPr>
            <w:tcW w:w="1328" w:type="dxa"/>
          </w:tcPr>
          <w:p w14:paraId="4BF88812"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8.74%</w:t>
            </w:r>
          </w:p>
        </w:tc>
        <w:tc>
          <w:tcPr>
            <w:tcW w:w="1328" w:type="dxa"/>
          </w:tcPr>
          <w:p w14:paraId="1888F774"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99.9%</w:t>
            </w:r>
          </w:p>
        </w:tc>
      </w:tr>
      <w:tr w:rsidR="0049612B" w14:paraId="05FDDAE2" w14:textId="77777777" w:rsidTr="00592289">
        <w:trPr>
          <w:cantSplit/>
          <w:tblHeader/>
        </w:trPr>
        <w:tc>
          <w:tcPr>
            <w:tcW w:w="1609" w:type="dxa"/>
          </w:tcPr>
          <w:p w14:paraId="186DFF8E" w14:textId="77777777" w:rsidR="0049612B" w:rsidRPr="0049612B" w:rsidRDefault="0049612B" w:rsidP="00085209">
            <w:pPr>
              <w:rPr>
                <w:color w:val="000000" w:themeColor="text1"/>
                <w:szCs w:val="24"/>
              </w:rPr>
            </w:pPr>
            <w:r w:rsidRPr="0049612B">
              <w:rPr>
                <w:rFonts w:ascii="Calibri" w:eastAsia="Times New Roman" w:hAnsi="Calibri" w:cs="Calibri"/>
                <w:b/>
                <w:bCs/>
                <w:color w:val="000000" w:themeColor="text1"/>
                <w:kern w:val="24"/>
                <w:szCs w:val="24"/>
                <w:lang w:eastAsia="en-GB"/>
              </w:rPr>
              <w:t xml:space="preserve">10 </w:t>
            </w:r>
            <w:r w:rsidRPr="0049612B">
              <w:rPr>
                <w:rFonts w:ascii="Calibri" w:eastAsia="Times New Roman" w:hAnsi="Calibri" w:cs="Calibri"/>
                <w:b/>
                <w:bCs/>
                <w:color w:val="000000" w:themeColor="text1"/>
                <w:kern w:val="24"/>
                <w:szCs w:val="24"/>
                <w:lang w:val="el-GR" w:eastAsia="en-GB"/>
              </w:rPr>
              <w:t>μ</w:t>
            </w:r>
            <w:r w:rsidRPr="0049612B">
              <w:rPr>
                <w:rFonts w:ascii="Calibri" w:eastAsia="Times New Roman" w:hAnsi="Calibri" w:cs="Calibri"/>
                <w:b/>
                <w:bCs/>
                <w:color w:val="000000" w:themeColor="text1"/>
                <w:kern w:val="24"/>
                <w:szCs w:val="24"/>
                <w:lang w:eastAsia="en-GB"/>
              </w:rPr>
              <w:t>g/g</w:t>
            </w:r>
          </w:p>
        </w:tc>
        <w:tc>
          <w:tcPr>
            <w:tcW w:w="1822" w:type="dxa"/>
          </w:tcPr>
          <w:p w14:paraId="4EF1A1CF"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19%</w:t>
            </w:r>
          </w:p>
        </w:tc>
        <w:tc>
          <w:tcPr>
            <w:tcW w:w="2082" w:type="dxa"/>
          </w:tcPr>
          <w:p w14:paraId="26D95705"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6</w:t>
            </w:r>
          </w:p>
        </w:tc>
        <w:tc>
          <w:tcPr>
            <w:tcW w:w="2287" w:type="dxa"/>
          </w:tcPr>
          <w:p w14:paraId="7AEC25F7"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91%</w:t>
            </w:r>
          </w:p>
        </w:tc>
        <w:tc>
          <w:tcPr>
            <w:tcW w:w="1328" w:type="dxa"/>
          </w:tcPr>
          <w:p w14:paraId="50797C0D"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16%</w:t>
            </w:r>
          </w:p>
        </w:tc>
        <w:tc>
          <w:tcPr>
            <w:tcW w:w="1328" w:type="dxa"/>
          </w:tcPr>
          <w:p w14:paraId="5F98DA5C" w14:textId="77777777" w:rsidR="0049612B" w:rsidRPr="0049612B" w:rsidRDefault="0049612B" w:rsidP="00085209">
            <w:pPr>
              <w:ind w:left="360"/>
              <w:rPr>
                <w:b/>
                <w:bCs/>
                <w:color w:val="000000" w:themeColor="text1"/>
                <w:szCs w:val="24"/>
              </w:rPr>
            </w:pPr>
            <w:r w:rsidRPr="0049612B">
              <w:rPr>
                <w:rFonts w:ascii="Calibri" w:eastAsia="Times New Roman" w:hAnsi="Calibri" w:cs="Calibri"/>
                <w:b/>
                <w:bCs/>
                <w:color w:val="000000" w:themeColor="text1"/>
                <w:kern w:val="24"/>
                <w:szCs w:val="24"/>
                <w:lang w:eastAsia="en-GB"/>
              </w:rPr>
              <w:t>99.6%</w:t>
            </w:r>
          </w:p>
        </w:tc>
      </w:tr>
      <w:tr w:rsidR="0049612B" w14:paraId="06AA0223" w14:textId="77777777" w:rsidTr="00592289">
        <w:trPr>
          <w:cantSplit/>
          <w:tblHeader/>
        </w:trPr>
        <w:tc>
          <w:tcPr>
            <w:tcW w:w="1609" w:type="dxa"/>
          </w:tcPr>
          <w:p w14:paraId="76C2D34F" w14:textId="77777777" w:rsidR="0049612B" w:rsidRPr="0049612B" w:rsidRDefault="0049612B" w:rsidP="00085209">
            <w:pPr>
              <w:rPr>
                <w:color w:val="000000" w:themeColor="text1"/>
                <w:szCs w:val="24"/>
              </w:rPr>
            </w:pPr>
            <w:r w:rsidRPr="0049612B">
              <w:rPr>
                <w:rFonts w:ascii="Calibri" w:eastAsia="Times New Roman" w:hAnsi="Calibri" w:cs="Calibri"/>
                <w:b/>
                <w:bCs/>
                <w:color w:val="000000" w:themeColor="text1"/>
                <w:kern w:val="24"/>
                <w:szCs w:val="24"/>
                <w:lang w:eastAsia="en-GB"/>
              </w:rPr>
              <w:t xml:space="preserve">150 </w:t>
            </w:r>
            <w:r w:rsidRPr="0049612B">
              <w:rPr>
                <w:rFonts w:ascii="Calibri" w:eastAsia="Times New Roman" w:hAnsi="Calibri" w:cs="Calibri"/>
                <w:b/>
                <w:bCs/>
                <w:color w:val="000000" w:themeColor="text1"/>
                <w:kern w:val="24"/>
                <w:szCs w:val="24"/>
                <w:lang w:val="el-GR" w:eastAsia="en-GB"/>
              </w:rPr>
              <w:t>μ</w:t>
            </w:r>
            <w:r w:rsidRPr="0049612B">
              <w:rPr>
                <w:rFonts w:ascii="Calibri" w:eastAsia="Times New Roman" w:hAnsi="Calibri" w:cs="Calibri"/>
                <w:b/>
                <w:bCs/>
                <w:color w:val="000000" w:themeColor="text1"/>
                <w:kern w:val="24"/>
                <w:szCs w:val="24"/>
                <w:lang w:eastAsia="en-GB"/>
              </w:rPr>
              <w:t>g/g</w:t>
            </w:r>
          </w:p>
        </w:tc>
        <w:tc>
          <w:tcPr>
            <w:tcW w:w="1822" w:type="dxa"/>
          </w:tcPr>
          <w:p w14:paraId="2B317B48"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8%</w:t>
            </w:r>
          </w:p>
        </w:tc>
        <w:tc>
          <w:tcPr>
            <w:tcW w:w="2082" w:type="dxa"/>
          </w:tcPr>
          <w:p w14:paraId="24533D1E" w14:textId="77777777" w:rsidR="0049612B" w:rsidRPr="0049612B" w:rsidRDefault="0049612B" w:rsidP="00085209">
            <w:pPr>
              <w:rPr>
                <w:color w:val="000000" w:themeColor="text1"/>
                <w:szCs w:val="24"/>
              </w:rPr>
            </w:pPr>
            <w:r w:rsidRPr="0049612B">
              <w:rPr>
                <w:rFonts w:ascii="Calibri" w:eastAsia="Times New Roman" w:hAnsi="Calibri" w:cs="Calibri"/>
                <w:color w:val="000000" w:themeColor="text1"/>
                <w:kern w:val="24"/>
                <w:szCs w:val="24"/>
                <w:lang w:eastAsia="en-GB"/>
              </w:rPr>
              <w:t>3</w:t>
            </w:r>
          </w:p>
        </w:tc>
        <w:tc>
          <w:tcPr>
            <w:tcW w:w="2287" w:type="dxa"/>
          </w:tcPr>
          <w:p w14:paraId="285C7813"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71%</w:t>
            </w:r>
          </w:p>
        </w:tc>
        <w:tc>
          <w:tcPr>
            <w:tcW w:w="1328" w:type="dxa"/>
          </w:tcPr>
          <w:p w14:paraId="7E773203"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31%</w:t>
            </w:r>
          </w:p>
        </w:tc>
        <w:tc>
          <w:tcPr>
            <w:tcW w:w="1328" w:type="dxa"/>
          </w:tcPr>
          <w:p w14:paraId="3DC69760" w14:textId="77777777" w:rsidR="0049612B" w:rsidRPr="0049612B" w:rsidRDefault="0049612B" w:rsidP="00085209">
            <w:pPr>
              <w:ind w:left="360"/>
              <w:rPr>
                <w:color w:val="000000" w:themeColor="text1"/>
                <w:szCs w:val="24"/>
              </w:rPr>
            </w:pPr>
            <w:r w:rsidRPr="0049612B">
              <w:rPr>
                <w:rFonts w:ascii="Calibri" w:eastAsia="Times New Roman" w:hAnsi="Calibri" w:cs="Calibri"/>
                <w:color w:val="000000" w:themeColor="text1"/>
                <w:kern w:val="24"/>
                <w:szCs w:val="24"/>
                <w:lang w:eastAsia="en-GB"/>
              </w:rPr>
              <w:t>98.9%</w:t>
            </w:r>
          </w:p>
        </w:tc>
      </w:tr>
    </w:tbl>
    <w:p w14:paraId="4CD0612B" w14:textId="77777777" w:rsidR="0049612B" w:rsidRPr="0049612B" w:rsidRDefault="0049612B" w:rsidP="0049612B"/>
    <w:p w14:paraId="1B99E5AD" w14:textId="77777777" w:rsidR="0049612B" w:rsidRDefault="0049612B" w:rsidP="0049612B">
      <w:pPr>
        <w:pStyle w:val="Heading3"/>
        <w:rPr>
          <w:rFonts w:eastAsiaTheme="minorHAnsi" w:cstheme="minorBidi"/>
          <w:b w:val="0"/>
          <w:bCs w:val="0"/>
        </w:rPr>
      </w:pPr>
      <w:r w:rsidRPr="0012057C">
        <w:rPr>
          <w:rFonts w:eastAsiaTheme="minorHAnsi" w:cstheme="minorBidi"/>
          <w:b w:val="0"/>
          <w:bCs w:val="0"/>
        </w:rPr>
        <w:lastRenderedPageBreak/>
        <w:t>Furthermore, it is recommended that patients with symptoms of colorectal cancer outside of the exceptions described below should have had a FIT test as part of their assessment in primary care and result noted within the referral. Currently, the exceptions are:</w:t>
      </w:r>
    </w:p>
    <w:p w14:paraId="7A0CDAB0" w14:textId="77777777" w:rsidR="0049612B" w:rsidRDefault="0049612B" w:rsidP="0049612B">
      <w:pPr>
        <w:pStyle w:val="Heading3"/>
        <w:numPr>
          <w:ilvl w:val="0"/>
          <w:numId w:val="9"/>
        </w:numPr>
        <w:tabs>
          <w:tab w:val="num" w:pos="360"/>
        </w:tabs>
        <w:ind w:left="0" w:firstLine="0"/>
        <w:rPr>
          <w:rFonts w:eastAsiaTheme="minorHAnsi" w:cstheme="minorBidi"/>
          <w:b w:val="0"/>
          <w:bCs w:val="0"/>
        </w:rPr>
      </w:pPr>
      <w:r w:rsidRPr="0012057C">
        <w:rPr>
          <w:rFonts w:eastAsiaTheme="minorHAnsi" w:cstheme="minorBidi"/>
          <w:b w:val="0"/>
          <w:bCs w:val="0"/>
        </w:rPr>
        <w:t xml:space="preserve">an abdominal, rectal, or anal mass, or anal ulceration  </w:t>
      </w:r>
    </w:p>
    <w:p w14:paraId="5A2E7EA8" w14:textId="77777777" w:rsidR="0049612B" w:rsidRDefault="0049612B" w:rsidP="0049612B">
      <w:pPr>
        <w:pStyle w:val="Heading3"/>
        <w:numPr>
          <w:ilvl w:val="0"/>
          <w:numId w:val="9"/>
        </w:numPr>
        <w:tabs>
          <w:tab w:val="num" w:pos="360"/>
        </w:tabs>
        <w:ind w:left="0" w:firstLine="0"/>
        <w:rPr>
          <w:rFonts w:eastAsiaTheme="minorHAnsi" w:cstheme="minorBidi"/>
          <w:b w:val="0"/>
          <w:bCs w:val="0"/>
        </w:rPr>
      </w:pPr>
      <w:r w:rsidRPr="0012057C">
        <w:rPr>
          <w:rFonts w:eastAsiaTheme="minorHAnsi" w:cstheme="minorBidi"/>
          <w:b w:val="0"/>
          <w:bCs w:val="0"/>
        </w:rPr>
        <w:t xml:space="preserve">a palpable abdominal mass  </w:t>
      </w:r>
    </w:p>
    <w:p w14:paraId="44BDE273" w14:textId="77777777" w:rsidR="0049612B" w:rsidRDefault="0049612B" w:rsidP="0049612B">
      <w:pPr>
        <w:pStyle w:val="Heading3"/>
        <w:numPr>
          <w:ilvl w:val="0"/>
          <w:numId w:val="9"/>
        </w:numPr>
        <w:tabs>
          <w:tab w:val="num" w:pos="360"/>
        </w:tabs>
        <w:ind w:left="0" w:firstLine="0"/>
        <w:rPr>
          <w:rFonts w:eastAsiaTheme="minorHAnsi" w:cstheme="minorBidi"/>
          <w:b w:val="0"/>
          <w:bCs w:val="0"/>
        </w:rPr>
      </w:pPr>
      <w:r w:rsidRPr="0012057C">
        <w:rPr>
          <w:rFonts w:eastAsiaTheme="minorHAnsi" w:cstheme="minorBidi"/>
          <w:b w:val="0"/>
          <w:bCs w:val="0"/>
        </w:rPr>
        <w:t xml:space="preserve">rectal bleeding  </w:t>
      </w:r>
    </w:p>
    <w:p w14:paraId="43A53370" w14:textId="77777777" w:rsidR="0049612B" w:rsidRDefault="0049612B" w:rsidP="0049612B">
      <w:pPr>
        <w:pStyle w:val="Heading3"/>
        <w:numPr>
          <w:ilvl w:val="0"/>
          <w:numId w:val="9"/>
        </w:numPr>
        <w:tabs>
          <w:tab w:val="num" w:pos="360"/>
        </w:tabs>
        <w:ind w:left="0" w:firstLine="0"/>
        <w:rPr>
          <w:rFonts w:eastAsiaTheme="minorHAnsi" w:cstheme="minorBidi"/>
          <w:b w:val="0"/>
          <w:bCs w:val="0"/>
        </w:rPr>
      </w:pPr>
      <w:r w:rsidRPr="0012057C">
        <w:rPr>
          <w:rFonts w:eastAsiaTheme="minorHAnsi" w:cstheme="minorBidi"/>
          <w:b w:val="0"/>
          <w:bCs w:val="0"/>
        </w:rPr>
        <w:t xml:space="preserve">obstructive symptoms    </w:t>
      </w:r>
    </w:p>
    <w:p w14:paraId="33B32B7A" w14:textId="469A646D" w:rsidR="0049612B" w:rsidRDefault="0049612B" w:rsidP="0049612B">
      <w:pPr>
        <w:pStyle w:val="Heading3"/>
        <w:rPr>
          <w:rFonts w:eastAsiaTheme="minorHAnsi" w:cstheme="minorBidi"/>
          <w:b w:val="0"/>
          <w:bCs w:val="0"/>
        </w:rPr>
      </w:pPr>
      <w:r w:rsidRPr="0012057C">
        <w:rPr>
          <w:rFonts w:eastAsiaTheme="minorHAnsi" w:cstheme="minorBidi"/>
          <w:b w:val="0"/>
          <w:bCs w:val="0"/>
        </w:rPr>
        <w:t>Where GPs remain concerned about patients with a</w:t>
      </w:r>
      <w:r w:rsidR="007842AD">
        <w:rPr>
          <w:rFonts w:eastAsiaTheme="minorHAnsi" w:cstheme="minorBidi"/>
          <w:b w:val="0"/>
          <w:bCs w:val="0"/>
        </w:rPr>
        <w:t>bd</w:t>
      </w:r>
      <w:r w:rsidRPr="0012057C">
        <w:rPr>
          <w:rFonts w:eastAsiaTheme="minorHAnsi" w:cstheme="minorBidi"/>
          <w:b w:val="0"/>
          <w:bCs w:val="0"/>
        </w:rPr>
        <w:t xml:space="preserve">ominal symptoms and a negative FIT, patients may still be directed via the colorectal </w:t>
      </w:r>
      <w:r w:rsidR="00F4764F">
        <w:rPr>
          <w:rFonts w:eastAsiaTheme="minorHAnsi" w:cstheme="minorBidi"/>
          <w:b w:val="0"/>
          <w:bCs w:val="0"/>
        </w:rPr>
        <w:t xml:space="preserve">Urgent Suspected Cancer Referral </w:t>
      </w:r>
      <w:r w:rsidRPr="0012057C">
        <w:rPr>
          <w:rFonts w:eastAsiaTheme="minorHAnsi" w:cstheme="minorBidi"/>
          <w:b w:val="0"/>
          <w:bCs w:val="0"/>
        </w:rPr>
        <w:t>pathway.  Alternatively, patients may be considered for alternative investigation of upper GI and non-GI abdominal pathology, and safety-netting processes should be in place to ensure patients proceed onto alternative pathways if symptoms persist e.g. vague symptoms/</w:t>
      </w:r>
      <w:r w:rsidR="007842AD">
        <w:rPr>
          <w:rFonts w:eastAsiaTheme="minorHAnsi" w:cstheme="minorBidi"/>
          <w:b w:val="0"/>
          <w:bCs w:val="0"/>
        </w:rPr>
        <w:t>n</w:t>
      </w:r>
      <w:r w:rsidRPr="0012057C">
        <w:rPr>
          <w:rFonts w:eastAsiaTheme="minorHAnsi" w:cstheme="minorBidi"/>
          <w:b w:val="0"/>
          <w:bCs w:val="0"/>
        </w:rPr>
        <w:t xml:space="preserve">on-site Specific/SCAN/MDC pathway, Gynaecology etc or seek advice and guidance on next steps in the management of the patient.    </w:t>
      </w:r>
    </w:p>
    <w:p w14:paraId="7B97AE59" w14:textId="77777777" w:rsidR="0049612B" w:rsidRDefault="0049612B" w:rsidP="0049612B">
      <w:pPr>
        <w:pStyle w:val="Heading3"/>
        <w:rPr>
          <w:rFonts w:eastAsiaTheme="minorHAnsi" w:cstheme="minorBidi"/>
          <w:b w:val="0"/>
          <w:bCs w:val="0"/>
        </w:rPr>
      </w:pPr>
      <w:r w:rsidRPr="000001E1">
        <w:rPr>
          <w:rFonts w:eastAsiaTheme="minorHAnsi" w:cstheme="minorBidi"/>
        </w:rPr>
        <w:t>The requirement for a referral to be accompanied with a FIT result will also be incentivised through the Investment and Impact Fund in 2022/23.</w:t>
      </w:r>
      <w:r w:rsidRPr="0012057C">
        <w:rPr>
          <w:rFonts w:eastAsiaTheme="minorHAnsi" w:cstheme="minorBidi"/>
          <w:b w:val="0"/>
          <w:bCs w:val="0"/>
        </w:rPr>
        <w:t xml:space="preserve">  Further information about the incentive can be found in the GP contract for 22/2023 and in the PCN DES for 2022/23.    </w:t>
      </w:r>
    </w:p>
    <w:p w14:paraId="702CD139" w14:textId="00D95919" w:rsidR="0049612B" w:rsidRPr="00DF1318" w:rsidRDefault="0049612B" w:rsidP="00DF1318">
      <w:pPr>
        <w:pStyle w:val="Heading3"/>
        <w:rPr>
          <w:rFonts w:eastAsiaTheme="minorHAnsi" w:cstheme="minorBidi"/>
          <w:b w:val="0"/>
          <w:bCs w:val="0"/>
        </w:rPr>
      </w:pPr>
      <w:r w:rsidRPr="0012057C">
        <w:rPr>
          <w:rFonts w:eastAsiaTheme="minorHAnsi" w:cstheme="minorBidi"/>
          <w:b w:val="0"/>
          <w:bCs w:val="0"/>
        </w:rPr>
        <w:t xml:space="preserve">If there are any further clarifications required, please contact: </w:t>
      </w:r>
      <w:hyperlink r:id="rId10" w:history="1">
        <w:r w:rsidR="00DF1318" w:rsidRPr="00AF177F">
          <w:rPr>
            <w:rStyle w:val="Hyperlink"/>
            <w:rFonts w:eastAsiaTheme="minorHAnsi" w:cstheme="minorBidi"/>
            <w:b w:val="0"/>
            <w:bCs w:val="0"/>
          </w:rPr>
          <w:t>endoscopy2weekwait@oxnet.nhs.net</w:t>
        </w:r>
      </w:hyperlink>
      <w:r w:rsidR="00DF1318">
        <w:rPr>
          <w:rFonts w:eastAsiaTheme="minorHAnsi" w:cstheme="minorBidi"/>
          <w:b w:val="0"/>
          <w:bCs w:val="0"/>
        </w:rPr>
        <w:t xml:space="preserve"> </w:t>
      </w:r>
      <w:r w:rsidRPr="0012057C">
        <w:rPr>
          <w:rFonts w:eastAsiaTheme="minorHAnsi" w:cstheme="minorBidi"/>
          <w:b w:val="0"/>
          <w:bCs w:val="0"/>
        </w:rPr>
        <w:t xml:space="preserve">  </w:t>
      </w:r>
    </w:p>
    <w:p w14:paraId="56CC5BB4" w14:textId="48EA7523" w:rsidR="00537781" w:rsidRPr="0049612B" w:rsidRDefault="0049612B" w:rsidP="00DF1318">
      <w:pPr>
        <w:pStyle w:val="Heading1"/>
      </w:pPr>
      <w:r w:rsidRPr="0049612B">
        <w:t xml:space="preserve">References </w:t>
      </w:r>
    </w:p>
    <w:p w14:paraId="65279E41" w14:textId="77777777" w:rsidR="00DF1318" w:rsidRDefault="0049612B" w:rsidP="00DF1318">
      <w:pPr>
        <w:pStyle w:val="NoSpacing"/>
        <w:numPr>
          <w:ilvl w:val="0"/>
          <w:numId w:val="10"/>
        </w:numPr>
        <w:rPr>
          <w:rFonts w:cstheme="minorHAnsi"/>
          <w:bCs/>
          <w:szCs w:val="24"/>
        </w:rPr>
      </w:pPr>
      <w:r w:rsidRPr="0049612B">
        <w:rPr>
          <w:rFonts w:cstheme="minorHAnsi"/>
          <w:bCs/>
          <w:szCs w:val="24"/>
        </w:rPr>
        <w:t>Pin-</w:t>
      </w:r>
      <w:proofErr w:type="spellStart"/>
      <w:r w:rsidRPr="0049612B">
        <w:rPr>
          <w:rFonts w:cstheme="minorHAnsi"/>
          <w:bCs/>
          <w:szCs w:val="24"/>
        </w:rPr>
        <w:t>Vieto</w:t>
      </w:r>
      <w:proofErr w:type="spellEnd"/>
      <w:r w:rsidRPr="0049612B">
        <w:rPr>
          <w:rFonts w:cstheme="minorHAnsi"/>
          <w:bCs/>
          <w:szCs w:val="24"/>
        </w:rPr>
        <w:t xml:space="preserve"> N et al. Gut 2021; 0:1 – 11. Doi:10.1135/gutjnl-2021-324856  </w:t>
      </w:r>
    </w:p>
    <w:p w14:paraId="5635407F" w14:textId="26855C03" w:rsidR="00AB5920" w:rsidRPr="00DF1318" w:rsidRDefault="0049612B" w:rsidP="00DF1318">
      <w:pPr>
        <w:pStyle w:val="NoSpacing"/>
        <w:numPr>
          <w:ilvl w:val="0"/>
          <w:numId w:val="10"/>
        </w:numPr>
        <w:rPr>
          <w:rFonts w:cstheme="minorHAnsi"/>
          <w:bCs/>
          <w:szCs w:val="24"/>
        </w:rPr>
      </w:pPr>
      <w:r w:rsidRPr="0049612B">
        <w:rPr>
          <w:rFonts w:cstheme="minorHAnsi"/>
          <w:bCs/>
          <w:szCs w:val="24"/>
        </w:rPr>
        <w:t xml:space="preserve">D’Souza N et al. Gut 2021; 70:1130 – 1138. Doi:10.1136/gutjnl-2020-321956  </w:t>
      </w:r>
    </w:p>
    <w:sectPr w:rsidR="00AB5920" w:rsidRPr="00DF1318" w:rsidSect="00B829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9699" w14:textId="77777777" w:rsidR="00E8560A" w:rsidRDefault="00E8560A" w:rsidP="002D538D">
      <w:pPr>
        <w:spacing w:after="0" w:line="240" w:lineRule="auto"/>
      </w:pPr>
      <w:r>
        <w:separator/>
      </w:r>
    </w:p>
  </w:endnote>
  <w:endnote w:type="continuationSeparator" w:id="0">
    <w:p w14:paraId="2F0B44C6" w14:textId="77777777" w:rsidR="00E8560A" w:rsidRDefault="00E8560A" w:rsidP="002D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60659"/>
      <w:docPartObj>
        <w:docPartGallery w:val="Page Numbers (Bottom of Page)"/>
        <w:docPartUnique/>
      </w:docPartObj>
    </w:sdtPr>
    <w:sdtEndPr>
      <w:rPr>
        <w:noProof/>
      </w:rPr>
    </w:sdtEndPr>
    <w:sdtContent>
      <w:p w14:paraId="6699915B" w14:textId="77777777" w:rsidR="006414C5" w:rsidRDefault="006414C5">
        <w:pPr>
          <w:pStyle w:val="Footer"/>
          <w:jc w:val="right"/>
        </w:pPr>
        <w:r>
          <w:fldChar w:fldCharType="begin"/>
        </w:r>
        <w:r>
          <w:instrText xml:space="preserve"> PAGE   \* MERGEFORMAT </w:instrText>
        </w:r>
        <w:r>
          <w:fldChar w:fldCharType="separate"/>
        </w:r>
        <w:r w:rsidR="007845E1">
          <w:rPr>
            <w:noProof/>
          </w:rPr>
          <w:t>1</w:t>
        </w:r>
        <w:r>
          <w:rPr>
            <w:noProof/>
          </w:rPr>
          <w:fldChar w:fldCharType="end"/>
        </w:r>
      </w:p>
    </w:sdtContent>
  </w:sdt>
  <w:p w14:paraId="2C6A4E64" w14:textId="2EF806F8" w:rsidR="006414C5" w:rsidRDefault="00DF1318" w:rsidP="00DF1318">
    <w:pPr>
      <w:pStyle w:val="Footer"/>
    </w:pPr>
    <w:r w:rsidRPr="00DF1318">
      <w:t xml:space="preserve">Faecal Immunochemical Test (FIT) for colorectal </w:t>
    </w:r>
    <w:r w:rsidR="006E358D">
      <w:t xml:space="preserve">Urgent Suspected </w:t>
    </w:r>
    <w:r w:rsidR="006742CD">
      <w:t xml:space="preserve">Cancer </w:t>
    </w:r>
    <w:r w:rsidR="006E358D">
      <w:t>Referrals.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FEB3" w14:textId="77777777" w:rsidR="00E8560A" w:rsidRDefault="00E8560A" w:rsidP="002D538D">
      <w:pPr>
        <w:spacing w:after="0" w:line="240" w:lineRule="auto"/>
      </w:pPr>
      <w:r>
        <w:separator/>
      </w:r>
    </w:p>
  </w:footnote>
  <w:footnote w:type="continuationSeparator" w:id="0">
    <w:p w14:paraId="25F5A538" w14:textId="77777777" w:rsidR="00E8560A" w:rsidRDefault="00E8560A" w:rsidP="002D5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E76"/>
    <w:multiLevelType w:val="hybridMultilevel"/>
    <w:tmpl w:val="4B30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13D15"/>
    <w:multiLevelType w:val="hybridMultilevel"/>
    <w:tmpl w:val="CE82D986"/>
    <w:lvl w:ilvl="0" w:tplc="695A255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33ADA"/>
    <w:multiLevelType w:val="hybridMultilevel"/>
    <w:tmpl w:val="EB74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A2046"/>
    <w:multiLevelType w:val="hybridMultilevel"/>
    <w:tmpl w:val="A17A75DE"/>
    <w:lvl w:ilvl="0" w:tplc="3A2AB4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516AA"/>
    <w:multiLevelType w:val="hybridMultilevel"/>
    <w:tmpl w:val="59AEC452"/>
    <w:lvl w:ilvl="0" w:tplc="08090001">
      <w:start w:val="1"/>
      <w:numFmt w:val="bullet"/>
      <w:lvlText w:val=""/>
      <w:lvlJc w:val="left"/>
      <w:pPr>
        <w:ind w:left="867" w:hanging="360"/>
      </w:pPr>
      <w:rPr>
        <w:rFonts w:ascii="Symbol" w:hAnsi="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5" w15:restartNumberingAfterBreak="0">
    <w:nsid w:val="3E352A5F"/>
    <w:multiLevelType w:val="hybridMultilevel"/>
    <w:tmpl w:val="74AC6E9A"/>
    <w:lvl w:ilvl="0" w:tplc="627A7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525E1"/>
    <w:multiLevelType w:val="hybridMultilevel"/>
    <w:tmpl w:val="C1B0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85532"/>
    <w:multiLevelType w:val="hybridMultilevel"/>
    <w:tmpl w:val="2B50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419B2"/>
    <w:multiLevelType w:val="hybridMultilevel"/>
    <w:tmpl w:val="CB0AD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3A1B5C"/>
    <w:multiLevelType w:val="hybridMultilevel"/>
    <w:tmpl w:val="7C705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0206855">
    <w:abstractNumId w:val="4"/>
  </w:num>
  <w:num w:numId="2" w16cid:durableId="1878271741">
    <w:abstractNumId w:val="3"/>
  </w:num>
  <w:num w:numId="3" w16cid:durableId="1565600701">
    <w:abstractNumId w:val="0"/>
  </w:num>
  <w:num w:numId="4" w16cid:durableId="372386021">
    <w:abstractNumId w:val="5"/>
  </w:num>
  <w:num w:numId="5" w16cid:durableId="1496148624">
    <w:abstractNumId w:val="2"/>
  </w:num>
  <w:num w:numId="6" w16cid:durableId="1960522921">
    <w:abstractNumId w:val="7"/>
  </w:num>
  <w:num w:numId="7" w16cid:durableId="477114747">
    <w:abstractNumId w:val="9"/>
  </w:num>
  <w:num w:numId="8" w16cid:durableId="1798522506">
    <w:abstractNumId w:val="1"/>
  </w:num>
  <w:num w:numId="9" w16cid:durableId="1328749787">
    <w:abstractNumId w:val="6"/>
  </w:num>
  <w:num w:numId="10" w16cid:durableId="2084989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76"/>
    <w:rsid w:val="000001E1"/>
    <w:rsid w:val="0000741C"/>
    <w:rsid w:val="000364E4"/>
    <w:rsid w:val="0004613D"/>
    <w:rsid w:val="00047044"/>
    <w:rsid w:val="00087C39"/>
    <w:rsid w:val="00093CC4"/>
    <w:rsid w:val="000B158E"/>
    <w:rsid w:val="000C4BD5"/>
    <w:rsid w:val="000E4BD9"/>
    <w:rsid w:val="000F3ED0"/>
    <w:rsid w:val="0014503A"/>
    <w:rsid w:val="00153571"/>
    <w:rsid w:val="00156FF2"/>
    <w:rsid w:val="001A476E"/>
    <w:rsid w:val="00254BBA"/>
    <w:rsid w:val="0028526F"/>
    <w:rsid w:val="002A7522"/>
    <w:rsid w:val="002C00BA"/>
    <w:rsid w:val="002D538D"/>
    <w:rsid w:val="002E3979"/>
    <w:rsid w:val="002E4276"/>
    <w:rsid w:val="003060F8"/>
    <w:rsid w:val="003328FA"/>
    <w:rsid w:val="00354754"/>
    <w:rsid w:val="00463B2C"/>
    <w:rsid w:val="0046713F"/>
    <w:rsid w:val="0048078F"/>
    <w:rsid w:val="0049612B"/>
    <w:rsid w:val="004B2012"/>
    <w:rsid w:val="004F0493"/>
    <w:rsid w:val="00536511"/>
    <w:rsid w:val="00537446"/>
    <w:rsid w:val="00537781"/>
    <w:rsid w:val="00551408"/>
    <w:rsid w:val="00583640"/>
    <w:rsid w:val="00592289"/>
    <w:rsid w:val="00596E71"/>
    <w:rsid w:val="005B20D5"/>
    <w:rsid w:val="005C6E93"/>
    <w:rsid w:val="006054BD"/>
    <w:rsid w:val="006414C5"/>
    <w:rsid w:val="0064674E"/>
    <w:rsid w:val="00654162"/>
    <w:rsid w:val="0066169F"/>
    <w:rsid w:val="0066453C"/>
    <w:rsid w:val="00665288"/>
    <w:rsid w:val="00672239"/>
    <w:rsid w:val="006742CD"/>
    <w:rsid w:val="006746D0"/>
    <w:rsid w:val="006B150D"/>
    <w:rsid w:val="006C2566"/>
    <w:rsid w:val="006C511C"/>
    <w:rsid w:val="006E358D"/>
    <w:rsid w:val="00706FC9"/>
    <w:rsid w:val="00723B03"/>
    <w:rsid w:val="00726F95"/>
    <w:rsid w:val="007609DF"/>
    <w:rsid w:val="007842AD"/>
    <w:rsid w:val="007845E1"/>
    <w:rsid w:val="007D2F44"/>
    <w:rsid w:val="007F3181"/>
    <w:rsid w:val="00816B16"/>
    <w:rsid w:val="00830EE4"/>
    <w:rsid w:val="008506BB"/>
    <w:rsid w:val="00851EC1"/>
    <w:rsid w:val="008C6319"/>
    <w:rsid w:val="008D291B"/>
    <w:rsid w:val="008D4AC0"/>
    <w:rsid w:val="008E6D9C"/>
    <w:rsid w:val="008F1626"/>
    <w:rsid w:val="008F2C28"/>
    <w:rsid w:val="00921F88"/>
    <w:rsid w:val="00923FC2"/>
    <w:rsid w:val="00927554"/>
    <w:rsid w:val="009475C3"/>
    <w:rsid w:val="009C78A0"/>
    <w:rsid w:val="00A060E7"/>
    <w:rsid w:val="00A14476"/>
    <w:rsid w:val="00A40A14"/>
    <w:rsid w:val="00A53DD2"/>
    <w:rsid w:val="00A54A89"/>
    <w:rsid w:val="00A57437"/>
    <w:rsid w:val="00A6254B"/>
    <w:rsid w:val="00AB5920"/>
    <w:rsid w:val="00AC0478"/>
    <w:rsid w:val="00B0462D"/>
    <w:rsid w:val="00B057C7"/>
    <w:rsid w:val="00B211CB"/>
    <w:rsid w:val="00B27423"/>
    <w:rsid w:val="00B41675"/>
    <w:rsid w:val="00B63FFE"/>
    <w:rsid w:val="00B773BE"/>
    <w:rsid w:val="00B829D5"/>
    <w:rsid w:val="00BE3B24"/>
    <w:rsid w:val="00BF601D"/>
    <w:rsid w:val="00C5180E"/>
    <w:rsid w:val="00C703D3"/>
    <w:rsid w:val="00C7118F"/>
    <w:rsid w:val="00CE1118"/>
    <w:rsid w:val="00D736F6"/>
    <w:rsid w:val="00D762EF"/>
    <w:rsid w:val="00D91C4D"/>
    <w:rsid w:val="00DB12BC"/>
    <w:rsid w:val="00DE110C"/>
    <w:rsid w:val="00DF1318"/>
    <w:rsid w:val="00E22A81"/>
    <w:rsid w:val="00E56C36"/>
    <w:rsid w:val="00E60903"/>
    <w:rsid w:val="00E8560A"/>
    <w:rsid w:val="00EB0283"/>
    <w:rsid w:val="00F162B7"/>
    <w:rsid w:val="00F21CD6"/>
    <w:rsid w:val="00F4764F"/>
    <w:rsid w:val="00F6044F"/>
    <w:rsid w:val="00F60A09"/>
    <w:rsid w:val="00F67EC1"/>
    <w:rsid w:val="00FB3E6F"/>
    <w:rsid w:val="00FF36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38B00"/>
  <w15:docId w15:val="{B41A304E-F7AA-4353-919A-C593E23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0C"/>
    <w:rPr>
      <w:sz w:val="24"/>
    </w:rPr>
  </w:style>
  <w:style w:type="paragraph" w:styleId="Heading1">
    <w:name w:val="heading 1"/>
    <w:basedOn w:val="Normal"/>
    <w:next w:val="Normal"/>
    <w:link w:val="Heading1Char"/>
    <w:uiPriority w:val="9"/>
    <w:qFormat/>
    <w:rsid w:val="00723B03"/>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96E71"/>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96E71"/>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96E71"/>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96E71"/>
    <w:pPr>
      <w:keepNext/>
      <w:keepLines/>
      <w:spacing w:before="20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C6E93"/>
    <w:pPr>
      <w:spacing w:after="0" w:line="240" w:lineRule="auto"/>
    </w:pPr>
    <w:rPr>
      <w:sz w:val="24"/>
    </w:rPr>
  </w:style>
  <w:style w:type="table" w:styleId="TableGrid">
    <w:name w:val="Table Grid"/>
    <w:basedOn w:val="TableNormal"/>
    <w:uiPriority w:val="59"/>
    <w:rsid w:val="002C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12"/>
    <w:pPr>
      <w:numPr>
        <w:numId w:val="8"/>
      </w:numPr>
      <w:contextualSpacing/>
    </w:pPr>
  </w:style>
  <w:style w:type="paragraph" w:styleId="Header">
    <w:name w:val="header"/>
    <w:basedOn w:val="Normal"/>
    <w:link w:val="HeaderChar"/>
    <w:uiPriority w:val="99"/>
    <w:unhideWhenUsed/>
    <w:rsid w:val="002D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8D"/>
  </w:style>
  <w:style w:type="paragraph" w:styleId="Footer">
    <w:name w:val="footer"/>
    <w:basedOn w:val="Normal"/>
    <w:link w:val="FooterChar"/>
    <w:uiPriority w:val="99"/>
    <w:unhideWhenUsed/>
    <w:rsid w:val="002D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8D"/>
  </w:style>
  <w:style w:type="paragraph" w:styleId="BalloonText">
    <w:name w:val="Balloon Text"/>
    <w:basedOn w:val="Normal"/>
    <w:link w:val="BalloonTextChar"/>
    <w:uiPriority w:val="99"/>
    <w:semiHidden/>
    <w:unhideWhenUsed/>
    <w:rsid w:val="0066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3C"/>
    <w:rPr>
      <w:rFonts w:ascii="Tahoma" w:hAnsi="Tahoma" w:cs="Tahoma"/>
      <w:sz w:val="16"/>
      <w:szCs w:val="16"/>
    </w:rPr>
  </w:style>
  <w:style w:type="character" w:styleId="CommentReference">
    <w:name w:val="annotation reference"/>
    <w:basedOn w:val="DefaultParagraphFont"/>
    <w:uiPriority w:val="99"/>
    <w:semiHidden/>
    <w:unhideWhenUsed/>
    <w:rsid w:val="00047044"/>
    <w:rPr>
      <w:sz w:val="16"/>
      <w:szCs w:val="16"/>
    </w:rPr>
  </w:style>
  <w:style w:type="paragraph" w:styleId="CommentText">
    <w:name w:val="annotation text"/>
    <w:basedOn w:val="Normal"/>
    <w:link w:val="CommentTextChar"/>
    <w:uiPriority w:val="99"/>
    <w:semiHidden/>
    <w:unhideWhenUsed/>
    <w:rsid w:val="00047044"/>
    <w:pPr>
      <w:spacing w:line="240" w:lineRule="auto"/>
    </w:pPr>
    <w:rPr>
      <w:sz w:val="20"/>
      <w:szCs w:val="20"/>
    </w:rPr>
  </w:style>
  <w:style w:type="character" w:customStyle="1" w:styleId="CommentTextChar">
    <w:name w:val="Comment Text Char"/>
    <w:basedOn w:val="DefaultParagraphFont"/>
    <w:link w:val="CommentText"/>
    <w:uiPriority w:val="99"/>
    <w:semiHidden/>
    <w:rsid w:val="00047044"/>
    <w:rPr>
      <w:sz w:val="20"/>
      <w:szCs w:val="20"/>
    </w:rPr>
  </w:style>
  <w:style w:type="paragraph" w:styleId="CommentSubject">
    <w:name w:val="annotation subject"/>
    <w:basedOn w:val="CommentText"/>
    <w:next w:val="CommentText"/>
    <w:link w:val="CommentSubjectChar"/>
    <w:uiPriority w:val="99"/>
    <w:semiHidden/>
    <w:unhideWhenUsed/>
    <w:rsid w:val="00047044"/>
    <w:rPr>
      <w:b/>
      <w:bCs/>
    </w:rPr>
  </w:style>
  <w:style w:type="character" w:customStyle="1" w:styleId="CommentSubjectChar">
    <w:name w:val="Comment Subject Char"/>
    <w:basedOn w:val="CommentTextChar"/>
    <w:link w:val="CommentSubject"/>
    <w:uiPriority w:val="99"/>
    <w:semiHidden/>
    <w:rsid w:val="00047044"/>
    <w:rPr>
      <w:b/>
      <w:bCs/>
      <w:sz w:val="20"/>
      <w:szCs w:val="20"/>
    </w:rPr>
  </w:style>
  <w:style w:type="character" w:styleId="Hyperlink">
    <w:name w:val="Hyperlink"/>
    <w:basedOn w:val="DefaultParagraphFont"/>
    <w:uiPriority w:val="99"/>
    <w:unhideWhenUsed/>
    <w:rsid w:val="001A476E"/>
    <w:rPr>
      <w:color w:val="0000FF"/>
      <w:u w:val="single"/>
    </w:rPr>
  </w:style>
  <w:style w:type="character" w:customStyle="1" w:styleId="Heading1Char">
    <w:name w:val="Heading 1 Char"/>
    <w:basedOn w:val="DefaultParagraphFont"/>
    <w:link w:val="Heading1"/>
    <w:uiPriority w:val="9"/>
    <w:rsid w:val="00723B03"/>
    <w:rPr>
      <w:rFonts w:eastAsiaTheme="majorEastAsia" w:cstheme="majorBidi"/>
      <w:b/>
      <w:bCs/>
      <w:sz w:val="32"/>
      <w:szCs w:val="28"/>
    </w:rPr>
  </w:style>
  <w:style w:type="character" w:customStyle="1" w:styleId="Heading2Char">
    <w:name w:val="Heading 2 Char"/>
    <w:basedOn w:val="DefaultParagraphFont"/>
    <w:link w:val="Heading2"/>
    <w:uiPriority w:val="9"/>
    <w:rsid w:val="00596E71"/>
    <w:rPr>
      <w:rFonts w:eastAsiaTheme="majorEastAsia" w:cstheme="majorBidi"/>
      <w:b/>
      <w:bCs/>
      <w:sz w:val="26"/>
      <w:szCs w:val="26"/>
    </w:rPr>
  </w:style>
  <w:style w:type="character" w:customStyle="1" w:styleId="Heading3Char">
    <w:name w:val="Heading 3 Char"/>
    <w:basedOn w:val="DefaultParagraphFont"/>
    <w:link w:val="Heading3"/>
    <w:uiPriority w:val="9"/>
    <w:rsid w:val="00596E71"/>
    <w:rPr>
      <w:rFonts w:eastAsiaTheme="majorEastAsia" w:cstheme="majorBidi"/>
      <w:b/>
      <w:bCs/>
      <w:sz w:val="24"/>
    </w:rPr>
  </w:style>
  <w:style w:type="character" w:customStyle="1" w:styleId="Heading4Char">
    <w:name w:val="Heading 4 Char"/>
    <w:basedOn w:val="DefaultParagraphFont"/>
    <w:link w:val="Heading4"/>
    <w:uiPriority w:val="9"/>
    <w:rsid w:val="00596E71"/>
    <w:rPr>
      <w:rFonts w:eastAsiaTheme="majorEastAsia" w:cstheme="majorBidi"/>
      <w:b/>
      <w:bCs/>
      <w:i/>
      <w:iCs/>
      <w:sz w:val="24"/>
    </w:rPr>
  </w:style>
  <w:style w:type="paragraph" w:styleId="Title">
    <w:name w:val="Title"/>
    <w:basedOn w:val="Normal"/>
    <w:next w:val="Normal"/>
    <w:link w:val="TitleChar"/>
    <w:uiPriority w:val="10"/>
    <w:qFormat/>
    <w:rsid w:val="005C6E93"/>
    <w:pPr>
      <w:spacing w:before="400"/>
    </w:pPr>
    <w:rPr>
      <w:sz w:val="40"/>
      <w:szCs w:val="40"/>
    </w:rPr>
  </w:style>
  <w:style w:type="character" w:customStyle="1" w:styleId="TitleChar">
    <w:name w:val="Title Char"/>
    <w:basedOn w:val="DefaultParagraphFont"/>
    <w:link w:val="Title"/>
    <w:uiPriority w:val="10"/>
    <w:rsid w:val="005C6E93"/>
    <w:rPr>
      <w:sz w:val="40"/>
      <w:szCs w:val="40"/>
    </w:rPr>
  </w:style>
  <w:style w:type="character" w:customStyle="1" w:styleId="Heading5Char">
    <w:name w:val="Heading 5 Char"/>
    <w:basedOn w:val="DefaultParagraphFont"/>
    <w:link w:val="Heading5"/>
    <w:uiPriority w:val="9"/>
    <w:semiHidden/>
    <w:rsid w:val="00596E71"/>
    <w:rPr>
      <w:rFonts w:eastAsiaTheme="majorEastAsia" w:cstheme="majorBidi"/>
      <w:sz w:val="24"/>
    </w:rPr>
  </w:style>
  <w:style w:type="character" w:styleId="UnresolvedMention">
    <w:name w:val="Unresolved Mention"/>
    <w:basedOn w:val="DefaultParagraphFont"/>
    <w:uiPriority w:val="99"/>
    <w:semiHidden/>
    <w:unhideWhenUsed/>
    <w:rsid w:val="00DF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ndoscopy2weekwait@oxnet.nhs.net"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063A-C8BC-4D4D-81C4-FC56C9B3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Faecal Immunochemical Test (FIT) for colorectal 2WW referrals - information and future action for GPs</vt:lpstr>
    </vt:vector>
  </TitlesOfParts>
  <Company>NHS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Faecal Immunochemical Test (FIT) for colorectal 2WW referrals - information and future action for GPs</dc:title>
  <dc:creator>Oxford University Hospitals</dc:creator>
  <cp:lastModifiedBy>Bonney, Frances (RTH) OUH</cp:lastModifiedBy>
  <cp:revision>5</cp:revision>
  <dcterms:created xsi:type="dcterms:W3CDTF">2024-02-16T12:56:00Z</dcterms:created>
  <dcterms:modified xsi:type="dcterms:W3CDTF">2024-02-19T10:04:00Z</dcterms:modified>
</cp:coreProperties>
</file>